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10/02/2025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3 — Daily Standup 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Benchmarked ingestion speed; average 3 sec per file.</w:t>
      </w:r>
    </w:p>
    <w:p w:rsidR="00000000" w:rsidDel="00000000" w:rsidP="00000000" w:rsidRDefault="00000000" w:rsidRPr="00000000" w14:paraId="0000000E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 Analyzer now recognizes linker misconfigurations.</w:t>
      </w:r>
    </w:p>
    <w:p w:rsidR="00000000" w:rsidDel="00000000" w:rsidP="00000000" w:rsidRDefault="00000000" w:rsidRPr="00000000" w14:paraId="00000010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QA found false negatives in linker errors.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Created schema for patch reasoning.</w:t>
      </w:r>
    </w:p>
    <w:p w:rsidR="00000000" w:rsidDel="00000000" w:rsidP="00000000" w:rsidRDefault="00000000" w:rsidRPr="00000000" w14:paraId="00000014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- Prepped STM32Cube examples for ingestion.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jhjeFVg4FOTJtL0qfJGTWGOj2w==">CgMxLjA4AHIhMVk5Wk9lcGktMm0wS2VPdWI2cjNpODJBN3Izc18xX3RF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